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4B66F"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</w:rPr>
        <w:instrText xml:space="preserve">ADDIN CNKISM.UserStyle</w:instrText>
      </w:r>
      <w:r>
        <w:rPr>
          <w:rFonts w:hint="eastAsia" w:ascii="黑体" w:hAnsi="黑体" w:eastAsia="黑体" w:cs="黑体"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E18EF1">
      <w:pPr>
        <w:spacing w:beforeLines="0" w:afterLines="0" w:line="540" w:lineRule="exact"/>
        <w:rPr>
          <w:rFonts w:ascii="黑体" w:hAnsi="黑体" w:eastAsia="黑体" w:cs="黑体"/>
          <w:sz w:val="32"/>
          <w:szCs w:val="32"/>
        </w:rPr>
      </w:pPr>
    </w:p>
    <w:p w14:paraId="531571C7">
      <w:pPr>
        <w:spacing w:before="0" w:beforeLines="0" w:after="0" w:afterLines="0" w:line="54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非处方药说明书范本</w:t>
      </w:r>
    </w:p>
    <w:p w14:paraId="0420971E">
      <w:pPr>
        <w:widowControl/>
        <w:spacing w:beforeLines="0" w:afterLines="0" w:line="540" w:lineRule="exact"/>
        <w:jc w:val="center"/>
        <w:rPr>
          <w:rFonts w:ascii="黑体" w:hAnsi="黑体" w:eastAsia="黑体" w:cs="宋体"/>
          <w:kern w:val="0"/>
          <w:sz w:val="32"/>
          <w:szCs w:val="18"/>
        </w:rPr>
      </w:pPr>
      <w:r>
        <w:rPr>
          <w:rFonts w:ascii="黑体" w:hAnsi="黑体" w:eastAsia="黑体" w:cs="宋体"/>
          <w:kern w:val="0"/>
          <w:sz w:val="32"/>
          <w:szCs w:val="18"/>
        </w:rPr>
        <w:t>盐酸氨溴索滴剂说明书</w:t>
      </w:r>
    </w:p>
    <w:p w14:paraId="7DA7BAD1">
      <w:pPr>
        <w:widowControl/>
        <w:spacing w:beforeLines="0" w:afterLines="0" w:line="540" w:lineRule="exact"/>
        <w:jc w:val="center"/>
        <w:rPr>
          <w:rFonts w:hint="eastAsia" w:ascii="仿宋_GB2312" w:hAnsi="仿宋_GB2312" w:eastAsia="仿宋_GB2312" w:cs="仿宋_GB2312"/>
          <w:b/>
          <w:kern w:val="0"/>
          <w:sz w:val="28"/>
          <w:szCs w:val="1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18"/>
        </w:rPr>
        <w:t>请仔细阅读说明书并按说明使用或在药师指导下购买和使用</w:t>
      </w:r>
    </w:p>
    <w:p w14:paraId="5CCC5902">
      <w:pPr>
        <w:widowControl/>
        <w:spacing w:beforeLines="0" w:afterLines="0" w:line="540" w:lineRule="exact"/>
        <w:jc w:val="left"/>
        <w:rPr>
          <w:rFonts w:hint="default" w:ascii="Times New Roman" w:hAnsi="Times New Roman" w:eastAsia="仿宋_GB2312" w:cs="Times New Roman"/>
          <w:kern w:val="0"/>
          <w:sz w:val="28"/>
          <w:szCs w:val="18"/>
        </w:rPr>
      </w:pPr>
    </w:p>
    <w:p w14:paraId="49A00E74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[药品名称]</w:t>
      </w:r>
    </w:p>
    <w:p w14:paraId="6DDBD78D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通用名称：盐酸氨溴索滴剂</w:t>
      </w:r>
    </w:p>
    <w:p w14:paraId="28AB61B9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商品名称：</w:t>
      </w:r>
    </w:p>
    <w:p w14:paraId="008B3A8A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英文名称：</w:t>
      </w:r>
    </w:p>
    <w:p w14:paraId="53DA975E">
      <w:pPr>
        <w:widowControl/>
        <w:spacing w:line="540" w:lineRule="exact"/>
        <w:ind w:left="638" w:leftChars="304" w:firstLine="0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汉语拼音：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[成份]</w:t>
      </w:r>
    </w:p>
    <w:p w14:paraId="75145900">
      <w:pPr>
        <w:widowControl/>
        <w:spacing w:line="540" w:lineRule="exact"/>
        <w:ind w:left="638" w:leftChars="304" w:firstLine="0" w:firstLineChars="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[性状]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[作用类别] 本品为祛痰药类非处方药药品。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[适应症]适用于痰液黏稠而不易咳出者。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[规格] 1.5%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  <w:lang w:val="en-US" w:eastAsia="zh-CN"/>
        </w:rPr>
        <w:t>（g/ml）</w:t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>[用法用量]</w:t>
      </w:r>
    </w:p>
    <w:p w14:paraId="39AAFBEE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口服给药。</w:t>
      </w:r>
    </w:p>
    <w:p w14:paraId="238EB86E"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1～2岁儿童：每日2次，每次0.5毫升（每日15毫克盐酸氨溴索）。</w:t>
      </w:r>
    </w:p>
    <w:p w14:paraId="6E7EF24A"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2～5岁儿童：每日3次，每次0.5毫升（每日22.5毫克盐酸氨溴索）。</w:t>
      </w:r>
    </w:p>
    <w:p w14:paraId="631506FB"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6～12岁儿童：每日2～3次，每次1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（每日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45毫克盐酸氨溴索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）。</w:t>
      </w:r>
    </w:p>
    <w:p w14:paraId="0D21695E"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成人及12岁以上儿童：通常在治疗最初的2～3天，每日3次，每次2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（每日90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毫克盐酸氨溴索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）；然后减少为每日2次，每次2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（每日60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毫克盐酸氨溴索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）；也可以每日2次，每次4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毫升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（相当于每日120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毫克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盐酸氨溴索），以增加有效性。</w:t>
      </w:r>
    </w:p>
    <w:p w14:paraId="7252F40F">
      <w:pPr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可用水、茶、果汁等稀释或不稀释，可以随餐或不随餐服用。</w:t>
      </w:r>
    </w:p>
    <w:p w14:paraId="1EAB98AD">
      <w:pPr>
        <w:widowControl/>
        <w:spacing w:line="5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2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20"/>
        </w:rPr>
        <w:t xml:space="preserve"> [不良反应]</w:t>
      </w:r>
    </w:p>
    <w:p w14:paraId="655CAABE">
      <w:pPr>
        <w:adjustRightInd w:val="0"/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/>
          <w:sz w:val="32"/>
          <w:szCs w:val="32"/>
        </w:rPr>
      </w:pPr>
      <w:r>
        <w:rPr>
          <w:rFonts w:hint="default" w:ascii="Times New Roman" w:hAnsi="Times New Roman" w:eastAsia="仿宋_GB2312" w:cs="Times New Roman"/>
          <w:iCs/>
          <w:sz w:val="32"/>
          <w:szCs w:val="32"/>
        </w:rPr>
        <w:t>根据不良反应的发生频率，进行了以下分类：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 w14:paraId="0C68B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F007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频率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FA85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  <w:t>定义</w:t>
            </w:r>
          </w:p>
        </w:tc>
      </w:tr>
      <w:tr w14:paraId="46B0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387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十分常见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9DB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≥1/10 </w:t>
            </w:r>
          </w:p>
        </w:tc>
      </w:tr>
      <w:tr w14:paraId="0785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ACEF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常见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FE5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≥1/100至&lt;1/10</w:t>
            </w:r>
          </w:p>
        </w:tc>
      </w:tr>
      <w:tr w14:paraId="39C48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78297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偶见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59FF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≥1/1000至&lt;1/100</w:t>
            </w:r>
          </w:p>
        </w:tc>
      </w:tr>
      <w:tr w14:paraId="0A09A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1214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罕见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DBB5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≥1/10000至&lt;1/1000</w:t>
            </w:r>
          </w:p>
        </w:tc>
      </w:tr>
      <w:tr w14:paraId="47CE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9FA3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十分罕见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99631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&lt;1/10000</w:t>
            </w:r>
          </w:p>
        </w:tc>
      </w:tr>
      <w:tr w14:paraId="70C1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DF2E0">
            <w:pPr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szCs w:val="24"/>
              </w:rPr>
              <w:t>未知</w:t>
            </w:r>
          </w:p>
        </w:tc>
        <w:tc>
          <w:tcPr>
            <w:tcW w:w="4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07509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无法根据已有数据估算发生率</w:t>
            </w:r>
          </w:p>
        </w:tc>
      </w:tr>
    </w:tbl>
    <w:p w14:paraId="7FB822FF">
      <w:pPr>
        <w:adjustRightInd w:val="0"/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1.免疫系统</w:t>
      </w:r>
    </w:p>
    <w:p w14:paraId="4DABF983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罕见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：超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敏反应</w:t>
      </w:r>
    </w:p>
    <w:p w14:paraId="438BC8B7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未知：速发严重过敏反应，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包括过敏性休克、血管神经性水肿和瘙痒</w:t>
      </w:r>
    </w:p>
    <w:p w14:paraId="31DB9A8A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2.皮肤及皮下组织</w:t>
      </w:r>
    </w:p>
    <w:p w14:paraId="7A951C2D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罕见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皮疹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荨麻疹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br w:type="textWrapping"/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未知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严重皮肤反应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包括多形性红斑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、史蒂文斯-约翰逊综合征、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中毒性表皮坏死松解症和急性泛发性发疹性脓疱病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）</w:t>
      </w:r>
    </w:p>
    <w:p w14:paraId="65A0A825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  <w:lang w:val="de-DE"/>
        </w:rPr>
        <w:t>3</w:t>
      </w: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.神经系统</w:t>
      </w:r>
    </w:p>
    <w:p w14:paraId="4A47F13F">
      <w:pPr>
        <w:shd w:val="clear" w:color="auto" w:fill="auto"/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常见：</w:t>
      </w:r>
      <w:bookmarkStart w:id="0" w:name="OLE_LINK3"/>
      <w:bookmarkStart w:id="1" w:name="OLE_LINK4"/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味觉</w:t>
      </w:r>
      <w:bookmarkEnd w:id="0"/>
      <w:bookmarkEnd w:id="1"/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障碍</w:t>
      </w:r>
    </w:p>
    <w:p w14:paraId="17FBCF2E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4.胃肠系统</w:t>
      </w:r>
    </w:p>
    <w:p w14:paraId="4017F7AF">
      <w:pPr>
        <w:shd w:val="clear" w:color="auto" w:fill="auto"/>
        <w:adjustRightInd w:val="0"/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常见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恶心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，口腔感觉减退（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口舌麻木）</w:t>
      </w:r>
    </w:p>
    <w:p w14:paraId="6E8F57CE">
      <w:pPr>
        <w:adjustRightInd w:val="0"/>
        <w:snapToGrid w:val="0"/>
        <w:spacing w:line="54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偶见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呕吐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腹泻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消化不良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腹痛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口干</w:t>
      </w:r>
    </w:p>
    <w:p w14:paraId="580FF190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罕见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bookmarkStart w:id="2" w:name="OLE_LINK6"/>
      <w:bookmarkStart w:id="3" w:name="OLE_LINK5"/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咽干</w:t>
      </w:r>
    </w:p>
    <w:bookmarkEnd w:id="2"/>
    <w:bookmarkEnd w:id="3"/>
    <w:p w14:paraId="6F33C046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十分罕见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唾液增多</w:t>
      </w:r>
    </w:p>
    <w:p w14:paraId="6DEEE783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5.呼吸道、胸腔和纵隔</w:t>
      </w:r>
    </w:p>
    <w:p w14:paraId="0BB4710B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常见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：咽感觉减退（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喉咙麻木）</w:t>
      </w:r>
    </w:p>
    <w:p w14:paraId="0A72F30E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未知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呼吸困难</w:t>
      </w:r>
    </w:p>
    <w:p w14:paraId="2435FA12">
      <w:pPr>
        <w:adjustRightInd w:val="0"/>
        <w:snapToGrid w:val="0"/>
        <w:spacing w:line="520" w:lineRule="exact"/>
        <w:ind w:left="0" w:leftChars="0" w:firstLine="640" w:firstLineChars="200"/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  <w:lang w:val="de-DE"/>
        </w:rPr>
      </w:pPr>
      <w:r>
        <w:rPr>
          <w:rFonts w:hint="default" w:ascii="Times New Roman" w:hAnsi="Times New Roman" w:eastAsia="仿宋_GB2312" w:cs="Times New Roman"/>
          <w:iCs w:val="0"/>
          <w:snapToGrid w:val="0"/>
          <w:sz w:val="32"/>
          <w:szCs w:val="32"/>
        </w:rPr>
        <w:t>6.全身和给药部位</w:t>
      </w:r>
    </w:p>
    <w:p w14:paraId="63F449C0">
      <w:pPr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偶见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  <w:lang w:val="de-DE"/>
        </w:rPr>
        <w:t>：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>发热、黏膜反应</w:t>
      </w:r>
    </w:p>
    <w:p w14:paraId="19E4D220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[禁忌]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已知对盐酸氨溴索或本品其他成份过敏者禁用。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[注意事项]</w:t>
      </w:r>
    </w:p>
    <w:p w14:paraId="30A76AD5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1．不建议家长或监护人自行给1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2岁儿童使用本品，应在医师指导下使用。</w:t>
      </w:r>
    </w:p>
    <w:p w14:paraId="00BBDA6F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2．本品为一种黏液调节剂，仅对咯痰症状有一定作用，在使用时应注意咳嗽、咯痰的原因，如使用4</w:t>
      </w:r>
      <w:r>
        <w:rPr>
          <w:rFonts w:hint="default" w:ascii="Times New Roman" w:hAnsi="Times New Roman" w:eastAsia="仿宋_GB2312" w:cs="Times New Roman"/>
          <w:b/>
          <w:snapToGrid w:val="0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5日后未见好转，应及时就医。</w:t>
      </w:r>
    </w:p>
    <w:p w14:paraId="5E016D4D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3．请按说明书用法用量给药，尤其注意儿童用药剂量。如服用过量或发生严重不良反应时应立即就医。</w:t>
      </w:r>
    </w:p>
    <w:p w14:paraId="7BA51516">
      <w:pPr>
        <w:widowControl/>
        <w:spacing w:line="52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4.已报道使用盐酸氨溴索口服制剂出现少数严重的皮肤损害病例，如史蒂文斯-约翰逊综合征（SJS）、中毒性表皮坏死松解症（TEN）和急性泛发性发疹性脓疱病（AGEP），与祛痰药（如盐酸氨溴索）用药时间相关。这些病例大多可由患者基础疾病的严重性和/或合并用药来予以解释。此外，在SJS或TEN的早期阶段，患者可能会首先出现非特异性流感样前驱症状，如发烧、身体疼痛、鼻炎、咳嗽和喉咙痛。这些非特异性流感样前驱症状会产生误导，开始可能会使用咳嗽和感冒药进行对症治疗。因此，如果出现新的皮肤或黏膜病变，应立即就医，并停用本品。</w:t>
      </w:r>
    </w:p>
    <w:p w14:paraId="3D9C2DB4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5.如果支气管舒张活动不畅且分泌物过多（例如在罕见的恶性纤毛综合症中），应当谨慎使用本品，因为本品可能会导致分泌物的分泌。</w:t>
      </w:r>
    </w:p>
    <w:p w14:paraId="7CA5A1B5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6．孕妇、哺乳期妇女慎用。</w:t>
      </w:r>
    </w:p>
    <w:p w14:paraId="06429E74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7．肝肾功能不全的患者，应在医师指导下使用。</w:t>
      </w:r>
    </w:p>
    <w:p w14:paraId="378E403A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8．对本品过敏者禁用，过敏体质者慎用。</w:t>
      </w:r>
    </w:p>
    <w:p w14:paraId="217E52B4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9．本品性状发生改变时禁止使用。</w:t>
      </w:r>
    </w:p>
    <w:p w14:paraId="233C279F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10．请将本品放在儿童不能接触的地方。</w:t>
      </w:r>
    </w:p>
    <w:p w14:paraId="70B018D0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11．儿童必须在成人监护下使用。</w:t>
      </w:r>
    </w:p>
    <w:p w14:paraId="13AC70FC">
      <w:pPr>
        <w:widowControl/>
        <w:spacing w:line="52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12．如正在使用其他药品，使用本品前请咨询医师或药师。</w:t>
      </w:r>
    </w:p>
    <w:p w14:paraId="53FD7350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[药物相互作用]</w:t>
      </w:r>
    </w:p>
    <w:p w14:paraId="76490D2B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1．应避免本品与中枢性镇咳药（如右美沙芬等）同时使用，以免稀化的痰液堵塞气道。</w:t>
      </w:r>
    </w:p>
    <w:p w14:paraId="782358C8">
      <w:pPr>
        <w:widowControl/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2.本品与抗生素（阿莫西林、头孢呋辛、红霉素、</w:t>
      </w:r>
      <w:bookmarkStart w:id="4" w:name="OLE_LINK2"/>
      <w:bookmarkStart w:id="5" w:name="OLE_LINK1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多西环素</w:t>
      </w:r>
      <w:bookmarkEnd w:id="4"/>
      <w:bookmarkEnd w:id="5"/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）同时服用，可导致抗生素在肺组织浓度升高。本品与β２-受体激动剂、茶碱等扩张支气管药物有协同作用。如与其他药物同时使用可能发生药物相互作用，详情请咨询医师或药师。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[药理作用] 本品为黏液溶解剂，能增加呼吸道黏膜浆液腺的分泌，减少黏液腺分泌，从而降低痰液黏度，促进肺表面活性物质的分泌，增加支气管纤毛运动，使痰液易于咳出。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[贮藏]</w:t>
      </w:r>
    </w:p>
    <w:p w14:paraId="649A432B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[包装]</w:t>
      </w:r>
    </w:p>
    <w:p w14:paraId="2F3AB8ED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[有效期]</w:t>
      </w:r>
    </w:p>
    <w:p w14:paraId="4F1F43E4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[执行标准]</w:t>
      </w:r>
    </w:p>
    <w:p w14:paraId="112485F1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[批准文号]</w:t>
      </w:r>
    </w:p>
    <w:p w14:paraId="22107630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[说明书修订日期]</w:t>
      </w:r>
    </w:p>
    <w:p w14:paraId="467F18E3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[上市许可持有人]</w:t>
      </w:r>
    </w:p>
    <w:p w14:paraId="4A3787F4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    称：</w:t>
      </w:r>
    </w:p>
    <w:p w14:paraId="5A40BD9B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注册地址：</w:t>
      </w:r>
    </w:p>
    <w:p w14:paraId="1E62E973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</w:t>
      </w:r>
    </w:p>
    <w:p w14:paraId="21A12424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电话号码：</w:t>
      </w:r>
    </w:p>
    <w:p w14:paraId="44772A51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传真号码：</w:t>
      </w:r>
    </w:p>
    <w:p w14:paraId="59394269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    址：</w:t>
      </w:r>
    </w:p>
    <w:p w14:paraId="6A949429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[生产企业]</w:t>
      </w:r>
    </w:p>
    <w:p w14:paraId="5496B5F9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企业名称：</w:t>
      </w:r>
    </w:p>
    <w:p w14:paraId="2B7AA5B0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生产地址：</w:t>
      </w:r>
    </w:p>
    <w:p w14:paraId="17745055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邮政编码：</w:t>
      </w:r>
    </w:p>
    <w:p w14:paraId="51354474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电话号码：</w:t>
      </w:r>
    </w:p>
    <w:p w14:paraId="347B8BE4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传真号码：</w:t>
      </w:r>
    </w:p>
    <w:p w14:paraId="478B9A20">
      <w:pPr>
        <w:widowControl/>
        <w:spacing w:line="52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    址：</w:t>
      </w:r>
    </w:p>
    <w:p w14:paraId="145F0445">
      <w:pPr>
        <w:widowControl/>
        <w:spacing w:line="5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如有问题可与上市许可持有人联系</w:t>
      </w:r>
    </w:p>
    <w:p w14:paraId="2DB0EF2A">
      <w:pPr>
        <w:spacing w:line="360" w:lineRule="auto"/>
        <w:rPr>
          <w:rFonts w:eastAsia="仿宋_GB2312"/>
          <w:sz w:val="22"/>
          <w:szCs w:val="24"/>
        </w:rPr>
      </w:pPr>
      <w:r>
        <w:rPr>
          <w:rFonts w:hint="eastAsia"/>
          <w:sz w:val="22"/>
          <w:szCs w:val="24"/>
        </w:rPr>
        <w:t>（注：本说明书范本原则上不得删减，如原批准说明书的安全性内容较本范本内容更全面或更严格的，应保留原批准内容。）</w:t>
      </w:r>
    </w:p>
    <w:p w14:paraId="2F73FFF4">
      <w:pPr>
        <w:widowControl/>
        <w:spacing w:line="270" w:lineRule="atLeast"/>
        <w:jc w:val="left"/>
        <w:rPr>
          <w:rFonts w:hint="eastAsia"/>
          <w:b/>
        </w:rPr>
      </w:pPr>
    </w:p>
    <w:p w14:paraId="66815AAD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65B86"/>
    <w:rsid w:val="141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2025-07-25T07:15:00Z</dcterms:created>
  <dc:creator>新祺</dc:creator>
  <cp:lastModifiedBy>新祺</cp:lastModifiedBy>
  <dcterms:modified xsi:type="dcterms:W3CDTF">2025-07-25T07:15:31Z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5103C19F2A29465B94541715FD1D5465_11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